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1F8F" w14:textId="77777777" w:rsidR="00BD73EF" w:rsidRDefault="00BD73EF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D73E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                 Приложение</w:t>
      </w:r>
      <w:r w:rsidR="000536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6</w:t>
      </w:r>
    </w:p>
    <w:p w14:paraId="1E2397C1" w14:textId="77777777" w:rsidR="0005366D" w:rsidRDefault="0005366D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68182AE" w14:textId="77777777" w:rsidR="0005366D" w:rsidRPr="0005366D" w:rsidRDefault="0005366D" w:rsidP="0005366D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Консультативный совет</w:t>
      </w:r>
    </w:p>
    <w:p w14:paraId="417F368F" w14:textId="77777777" w:rsidR="0005366D" w:rsidRPr="0005366D" w:rsidRDefault="0005366D" w:rsidP="0005366D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Министерстве по налогам и сборам</w:t>
      </w:r>
    </w:p>
    <w:p w14:paraId="485CF4A0" w14:textId="77777777" w:rsidR="0005366D" w:rsidRPr="0005366D" w:rsidRDefault="0005366D" w:rsidP="0005366D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31216E73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9700D3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</w:t>
      </w:r>
    </w:p>
    <w:p w14:paraId="3E0790B2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06.02.2025 № 1</w:t>
      </w:r>
    </w:p>
    <w:p w14:paraId="4346C1AC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80C87E" w14:textId="77777777" w:rsidR="0005366D" w:rsidRPr="0005366D" w:rsidRDefault="0005366D" w:rsidP="0005366D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совета </w:t>
      </w:r>
    </w:p>
    <w:p w14:paraId="4398378E" w14:textId="77777777" w:rsidR="0005366D" w:rsidRPr="0005366D" w:rsidRDefault="0005366D" w:rsidP="0005366D">
      <w:pPr>
        <w:widowControl w:val="0"/>
        <w:tabs>
          <w:tab w:val="left" w:pos="709"/>
        </w:tabs>
        <w:spacing w:line="240" w:lineRule="exact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981BC0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</w:t>
      </w:r>
      <w:proofErr w:type="gram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С.В.Еськова</w:t>
      </w:r>
      <w:proofErr w:type="spellEnd"/>
      <w:proofErr w:type="gram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36D7470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–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Н.О.Кондратенко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9189E71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Присутствовали:</w:t>
      </w:r>
    </w:p>
    <w:p w14:paraId="60831FE7" w14:textId="77777777" w:rsidR="0005366D" w:rsidRPr="0005366D" w:rsidRDefault="0005366D" w:rsidP="0005366D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Члены консультативного совета: </w:t>
      </w:r>
    </w:p>
    <w:p w14:paraId="216BCC5E" w14:textId="77777777" w:rsidR="0005366D" w:rsidRPr="0005366D" w:rsidRDefault="0005366D" w:rsidP="0005366D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Бацевичус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О.Ю.,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Ю.А., Высоцкая Н.А., Гольдберг А.И., Иванович Е.К., Ковалевский А.А.,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Конюшко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М.В., Кишко О.С.,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Колодич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Н.В., Кулешова Н.Н., Миронюк Л.П., Погодина Т.В.,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Полудень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 С.А., Судник Н.П., Рощупкин А.В., Старовойтова Д.И.</w:t>
      </w:r>
    </w:p>
    <w:p w14:paraId="3F8BF7C2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10107" w:type="dxa"/>
        <w:tblInd w:w="-42" w:type="dxa"/>
        <w:tblLook w:val="04A0" w:firstRow="1" w:lastRow="0" w:firstColumn="1" w:lastColumn="0" w:noHBand="0" w:noVBand="1"/>
      </w:tblPr>
      <w:tblGrid>
        <w:gridCol w:w="2736"/>
        <w:gridCol w:w="7371"/>
      </w:tblGrid>
      <w:tr w:rsidR="0005366D" w:rsidRPr="0005366D" w14:paraId="405188DF" w14:textId="77777777" w:rsidTr="008F1DB1">
        <w:tc>
          <w:tcPr>
            <w:tcW w:w="2736" w:type="dxa"/>
          </w:tcPr>
          <w:p w14:paraId="77AC9D7F" w14:textId="77777777" w:rsidR="0005366D" w:rsidRPr="0005366D" w:rsidRDefault="0005366D" w:rsidP="0005366D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371" w:type="dxa"/>
          </w:tcPr>
          <w:p w14:paraId="3423110A" w14:textId="77777777" w:rsidR="0005366D" w:rsidRPr="0005366D" w:rsidRDefault="0005366D" w:rsidP="0005366D">
            <w:pPr>
              <w:spacing w:line="280" w:lineRule="exact"/>
              <w:ind w:right="-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5366D" w:rsidRPr="0005366D" w14:paraId="34186A74" w14:textId="77777777" w:rsidTr="008F1DB1">
        <w:trPr>
          <w:trHeight w:val="280"/>
        </w:trPr>
        <w:tc>
          <w:tcPr>
            <w:tcW w:w="2736" w:type="dxa"/>
          </w:tcPr>
          <w:p w14:paraId="12FC9D7E" w14:textId="77777777" w:rsidR="0005366D" w:rsidRPr="0005366D" w:rsidRDefault="0005366D" w:rsidP="0005366D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Сундукова А.Ч.</w:t>
            </w:r>
          </w:p>
        </w:tc>
        <w:tc>
          <w:tcPr>
            <w:tcW w:w="7371" w:type="dxa"/>
          </w:tcPr>
          <w:p w14:paraId="0032B362" w14:textId="77777777" w:rsidR="0005366D" w:rsidRPr="0005366D" w:rsidRDefault="0005366D" w:rsidP="0005366D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МНС;</w:t>
            </w:r>
          </w:p>
        </w:tc>
      </w:tr>
      <w:tr w:rsidR="0005366D" w:rsidRPr="0005366D" w14:paraId="5EA8662C" w14:textId="77777777" w:rsidTr="008F1DB1">
        <w:trPr>
          <w:trHeight w:val="280"/>
        </w:trPr>
        <w:tc>
          <w:tcPr>
            <w:tcW w:w="2736" w:type="dxa"/>
          </w:tcPr>
          <w:p w14:paraId="27B8B24B" w14:textId="77777777" w:rsidR="0005366D" w:rsidRPr="0005366D" w:rsidRDefault="0005366D" w:rsidP="0005366D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Левченко С.В.</w:t>
            </w:r>
          </w:p>
        </w:tc>
        <w:tc>
          <w:tcPr>
            <w:tcW w:w="7371" w:type="dxa"/>
          </w:tcPr>
          <w:p w14:paraId="739CBA6A" w14:textId="77777777" w:rsidR="0005366D" w:rsidRPr="0005366D" w:rsidRDefault="0005366D" w:rsidP="0005366D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концерн «Белнефтехим»;</w:t>
            </w:r>
          </w:p>
        </w:tc>
      </w:tr>
      <w:tr w:rsidR="0005366D" w:rsidRPr="0005366D" w14:paraId="731955B5" w14:textId="77777777" w:rsidTr="008F1DB1">
        <w:trPr>
          <w:trHeight w:val="280"/>
        </w:trPr>
        <w:tc>
          <w:tcPr>
            <w:tcW w:w="2736" w:type="dxa"/>
          </w:tcPr>
          <w:p w14:paraId="7D6494F3" w14:textId="77777777" w:rsidR="0005366D" w:rsidRPr="0005366D" w:rsidRDefault="0005366D" w:rsidP="0005366D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Говша</w:t>
            </w:r>
            <w:proofErr w:type="spellEnd"/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Е.В.</w:t>
            </w:r>
          </w:p>
        </w:tc>
        <w:tc>
          <w:tcPr>
            <w:tcW w:w="7371" w:type="dxa"/>
          </w:tcPr>
          <w:p w14:paraId="16B32EDB" w14:textId="77777777" w:rsidR="0005366D" w:rsidRPr="0005366D" w:rsidRDefault="0005366D" w:rsidP="0005366D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«Б1 Аудиторские услуги»;</w:t>
            </w:r>
          </w:p>
        </w:tc>
      </w:tr>
      <w:tr w:rsidR="0005366D" w:rsidRPr="0005366D" w14:paraId="765AB2B3" w14:textId="77777777" w:rsidTr="008F1DB1">
        <w:trPr>
          <w:trHeight w:val="280"/>
        </w:trPr>
        <w:tc>
          <w:tcPr>
            <w:tcW w:w="2736" w:type="dxa"/>
          </w:tcPr>
          <w:p w14:paraId="2DF9EBE7" w14:textId="77777777" w:rsidR="0005366D" w:rsidRPr="0005366D" w:rsidRDefault="0005366D" w:rsidP="0005366D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Ильина Е.А.</w:t>
            </w:r>
          </w:p>
        </w:tc>
        <w:tc>
          <w:tcPr>
            <w:tcW w:w="7371" w:type="dxa"/>
          </w:tcPr>
          <w:p w14:paraId="67DBCD2A" w14:textId="77777777" w:rsidR="0005366D" w:rsidRPr="0005366D" w:rsidRDefault="0005366D" w:rsidP="0005366D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536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Ассоциация «БАМЭ».</w:t>
            </w:r>
          </w:p>
        </w:tc>
      </w:tr>
    </w:tbl>
    <w:p w14:paraId="10867331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10FDE383" w14:textId="77777777" w:rsidR="0005366D" w:rsidRPr="0005366D" w:rsidRDefault="0005366D" w:rsidP="0005366D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Повестка дня:</w:t>
      </w:r>
    </w:p>
    <w:p w14:paraId="770DE1B8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1. О введении понятия «источник выплаты доходов» в Налоговом кодексе Республики Беларусь (далее – НК).</w:t>
      </w:r>
    </w:p>
    <w:p w14:paraId="6A993478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Информация директора ООО «ДРТ </w:t>
      </w:r>
      <w:proofErr w:type="spellStart"/>
      <w:r w:rsidRPr="0005366D">
        <w:rPr>
          <w:rFonts w:ascii="Times New Roman" w:eastAsia="Calibri" w:hAnsi="Times New Roman" w:cs="Times New Roman"/>
          <w:sz w:val="30"/>
          <w:szCs w:val="30"/>
        </w:rPr>
        <w:t>Лигал</w:t>
      </w:r>
      <w:proofErr w:type="spellEnd"/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proofErr w:type="spellStart"/>
      <w:r w:rsidRPr="0005366D">
        <w:rPr>
          <w:rFonts w:ascii="Times New Roman" w:eastAsia="Calibri" w:hAnsi="Times New Roman" w:cs="Times New Roman"/>
          <w:sz w:val="30"/>
          <w:szCs w:val="30"/>
        </w:rPr>
        <w:t>Ю.А.Веремейко</w:t>
      </w:r>
      <w:proofErr w:type="spellEnd"/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127EDDB3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2. Об учете при исчислении подоходного налога с физических лиц средств (стоимости имущества), которые перешли от ИП к созданной им в порядке, предусмотренном Законом Республики Беларусь от 22.04.2024 № 365-З, организации в случае ее ликвидации, выхода (исключения участника), продажи доли (акций), уменьшении размера уставного фонда</w:t>
      </w:r>
    </w:p>
    <w:p w14:paraId="280BEA67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Информация директора ООО «ДРТ </w:t>
      </w:r>
      <w:proofErr w:type="spellStart"/>
      <w:r w:rsidRPr="0005366D">
        <w:rPr>
          <w:rFonts w:ascii="Times New Roman" w:eastAsia="Calibri" w:hAnsi="Times New Roman" w:cs="Times New Roman"/>
          <w:sz w:val="30"/>
          <w:szCs w:val="30"/>
        </w:rPr>
        <w:t>Лигал</w:t>
      </w:r>
      <w:proofErr w:type="spellEnd"/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proofErr w:type="spellStart"/>
      <w:r w:rsidRPr="0005366D">
        <w:rPr>
          <w:rFonts w:ascii="Times New Roman" w:eastAsia="Calibri" w:hAnsi="Times New Roman" w:cs="Times New Roman"/>
          <w:sz w:val="30"/>
          <w:szCs w:val="30"/>
        </w:rPr>
        <w:t>Ю.А.Веремейко</w:t>
      </w:r>
      <w:proofErr w:type="spellEnd"/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6C2C4B1B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3. О налогообложении дивидендов в связи с введением ставки подоходного налога в размере 25 процентов.</w:t>
      </w:r>
    </w:p>
    <w:p w14:paraId="7A4A34E7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Информация ООО «ВМП. Юридические услуги».</w:t>
      </w:r>
    </w:p>
    <w:p w14:paraId="0BDC89EB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4. Об оффшорном сборе:</w:t>
      </w:r>
    </w:p>
    <w:p w14:paraId="26A3A38F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конкретизация понятия «нерезидент Республики Беларусь, зарегистрированный в оффшорной зоне»;</w:t>
      </w:r>
    </w:p>
    <w:p w14:paraId="6EC67EB6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конкретизация понятия «дата перечисления» для целей оффшорного сбора;</w:t>
      </w:r>
    </w:p>
    <w:p w14:paraId="4FF7FD2F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lastRenderedPageBreak/>
        <w:t>конкретизация объекта взимания оффшорным сбором.</w:t>
      </w:r>
    </w:p>
    <w:p w14:paraId="77B8D1A8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Информация директора ООО «ДРТ </w:t>
      </w:r>
      <w:proofErr w:type="spellStart"/>
      <w:r w:rsidRPr="0005366D">
        <w:rPr>
          <w:rFonts w:ascii="Times New Roman" w:eastAsia="Calibri" w:hAnsi="Times New Roman" w:cs="Times New Roman"/>
          <w:sz w:val="30"/>
          <w:szCs w:val="30"/>
        </w:rPr>
        <w:t>Лигал</w:t>
      </w:r>
      <w:proofErr w:type="spellEnd"/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proofErr w:type="spellStart"/>
      <w:r w:rsidRPr="0005366D">
        <w:rPr>
          <w:rFonts w:ascii="Times New Roman" w:eastAsia="Calibri" w:hAnsi="Times New Roman" w:cs="Times New Roman"/>
          <w:sz w:val="30"/>
          <w:szCs w:val="30"/>
        </w:rPr>
        <w:t>Ю.А.Веремейко</w:t>
      </w:r>
      <w:proofErr w:type="spellEnd"/>
      <w:r w:rsidRPr="0005366D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8501538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5. О неначислении пеней в случае имеющейся у плательщика общей переплаты по налогам, сборам.</w:t>
      </w:r>
    </w:p>
    <w:p w14:paraId="034AAA23" w14:textId="77777777" w:rsidR="0005366D" w:rsidRPr="0005366D" w:rsidRDefault="0005366D" w:rsidP="0005366D">
      <w:pPr>
        <w:ind w:right="-185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366D">
        <w:rPr>
          <w:rFonts w:ascii="Times New Roman" w:eastAsia="Calibri" w:hAnsi="Times New Roman" w:cs="Times New Roman"/>
          <w:sz w:val="30"/>
          <w:szCs w:val="30"/>
        </w:rPr>
        <w:t>Информация главного бухгалтера – начальника управления бухгалтерского учета концерна «Белнефтехим» С.В. Левченко.</w:t>
      </w:r>
    </w:p>
    <w:p w14:paraId="626DBB4F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6B7A131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1. СЛУШАЛИ:</w:t>
      </w:r>
    </w:p>
    <w:p w14:paraId="6DAF96F6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Еськова С.В.,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 – Доведена информация об имеющихся неопределенностях в применении понятия «источник выплаты доходов» в связи с отсутствием данного термина в НК.</w:t>
      </w:r>
    </w:p>
    <w:p w14:paraId="043F441F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ВЫСТУПИЛИ: Ковалевский А.А.,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Ю.А., Миронюк Л.П., Кулешова Н.Н., Сундукова А.Ч., Еськова С.В.</w:t>
      </w:r>
    </w:p>
    <w:p w14:paraId="0A250A58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</w:t>
      </w:r>
    </w:p>
    <w:p w14:paraId="4A0A8478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Необходимость внесения изменений в НК по данному вопросу отсутствует.</w:t>
      </w:r>
    </w:p>
    <w:p w14:paraId="1088D9C5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14:paraId="6D171CCD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2. СЛУШАЛИ:</w:t>
      </w:r>
    </w:p>
    <w:p w14:paraId="2AB8D431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Еськова С.В.,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 – Предложено рассмотреть вопрос о внесении изменений в НК в части учета при исчислении подоходного налога с физических лиц стоимости имущества, которое перешло от ИП к созданной им организации, в случае ликвидации такой организации, выхода участника, продажи доли (акций), уменьшения размера уставного фонда.</w:t>
      </w:r>
    </w:p>
    <w:p w14:paraId="0FB12F0D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ВЫСТУПИЛИ: </w:t>
      </w:r>
    </w:p>
    <w:p w14:paraId="1B66B1A2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Ковалевский А.А., Рощупкин А.В.,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Ю.А., Погодина Т.В.,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Бацевичус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О.Ю., Еськова С.В.</w:t>
      </w:r>
    </w:p>
    <w:p w14:paraId="4DB95843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</w:t>
      </w:r>
    </w:p>
    <w:p w14:paraId="5A7BD5F5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Главному управлению налогообложения физических лиц МНС в рамках работы над предложениями в НК на 2026 год дополнительно оценить целесообразность внесения соответствующих положений в НК.</w:t>
      </w:r>
    </w:p>
    <w:p w14:paraId="5BCC0D1E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14:paraId="3E200E11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3. СЛУШАЛИ:</w:t>
      </w:r>
    </w:p>
    <w:p w14:paraId="6EC877AB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Еськова С.В. – Доведена информация об имеющемся неравенстве в налогообложении дивидендов подоходным налогом с физических лиц в связи с введением ставки в размере 25 процентов, когда такие доходы получены физическим лицом от материнской компании напрямую и когда дивиденды поступают физическому лицу от дочерней компании через материнскую компанию.</w:t>
      </w:r>
    </w:p>
    <w:p w14:paraId="1BA3BEA1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</w:t>
      </w:r>
    </w:p>
    <w:p w14:paraId="73D4E25A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Ковалевский А.А., Судник Н.П., Кулешова Н.Н.,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Ю.А., Рощупкин А.В., Еськова С.В.</w:t>
      </w:r>
    </w:p>
    <w:p w14:paraId="48FC9BEB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РЕШИЛИ:</w:t>
      </w:r>
    </w:p>
    <w:p w14:paraId="1DF65EB7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представленной Министерством финансов информацией о дополнительной проработке данного вопроса в Министерстве финансов в рамках работы над предложениями в НК на 2026 год главному управлению налогообложения физических лиц МНС изучить целесообразность внесения соответствующих изменений в порядок налогообложения дивидендов подоходным налогом с физических лиц, в том числе проработать возможные формы реализации данных предложений.</w:t>
      </w:r>
    </w:p>
    <w:p w14:paraId="0F9C4BE1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14:paraId="7A17AF75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СЛУШАЛИ: Еськова С.В.,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 – Доведена информация об имеющихся предложениях по корректировке положений НК, регулирующих порядок исчисления оффшорного сбора, в части конкретизации:</w:t>
      </w:r>
    </w:p>
    <w:p w14:paraId="79B30899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понятия «нерезидент, зарегистрированный в оффшорной зоне»;</w:t>
      </w:r>
    </w:p>
    <w:p w14:paraId="645DC167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понятия «дата перечисления»;</w:t>
      </w:r>
    </w:p>
    <w:p w14:paraId="7BD174F1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- объекта взимания оффшорным сбором.</w:t>
      </w:r>
    </w:p>
    <w:p w14:paraId="2D802A4D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</w:t>
      </w:r>
    </w:p>
    <w:p w14:paraId="28E3A36A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Сундукова А.Ч.,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Ю.А, Миронюк Л.П., Рощупкин А.В., Еськова С.В.</w:t>
      </w:r>
    </w:p>
    <w:p w14:paraId="4000F260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РЕШИЛИ: </w:t>
      </w:r>
    </w:p>
    <w:p w14:paraId="7F5F10AE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Необходимость корректировок НК в части исчисления оффшорного сбора отсутствует.</w:t>
      </w:r>
    </w:p>
    <w:p w14:paraId="7D0FF22C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CA71B3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5. СЛУШАЛИ:</w:t>
      </w:r>
    </w:p>
    <w:p w14:paraId="5C78D9A2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Еськова С.В., Левченко С.В. – Доведена информация о предложениях концерна «Белнефтехим» в части внесения изменений в порядок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насчисления</w:t>
      </w:r>
      <w:proofErr w:type="spellEnd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пеней.</w:t>
      </w:r>
    </w:p>
    <w:p w14:paraId="2342147D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</w:t>
      </w:r>
    </w:p>
    <w:p w14:paraId="3918C3D2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Сундукова А.Ч., Кондратенко Н.О., Еськова С.В.</w:t>
      </w:r>
    </w:p>
    <w:p w14:paraId="061D22EA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</w:t>
      </w:r>
    </w:p>
    <w:p w14:paraId="26D11365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1) Предложение о внесении в НК нормы о неначислении пеней на сумму задолженности, образовавшейся у плательщика в результате выполнения им разъяснений, данных неопределенному кругу лиц, не поддерживается.</w:t>
      </w:r>
    </w:p>
    <w:p w14:paraId="3DE1DFDC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2) Вынести на следующее заседание консультативного совета при МНС вопрос о неначислении пеней в случае превышения имеющейся общей налоговой переплаты по налогам, сборам над суммой задолженности по конкретному налогу (сбору).</w:t>
      </w:r>
    </w:p>
    <w:p w14:paraId="1D55D06B" w14:textId="77777777" w:rsidR="0005366D" w:rsidRPr="0005366D" w:rsidRDefault="0005366D" w:rsidP="0005366D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295604" w14:textId="77777777" w:rsidR="0005366D" w:rsidRPr="0005366D" w:rsidRDefault="0005366D" w:rsidP="0005366D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</w:t>
      </w:r>
    </w:p>
    <w:p w14:paraId="4CD59352" w14:textId="77777777" w:rsidR="0005366D" w:rsidRPr="0005366D" w:rsidRDefault="0005366D" w:rsidP="0005366D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консультативного совета                                              С.В. Еськова</w:t>
      </w:r>
    </w:p>
    <w:p w14:paraId="38818FA7" w14:textId="77777777" w:rsidR="0005366D" w:rsidRPr="0005366D" w:rsidRDefault="0005366D" w:rsidP="0005366D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70B9E1" w14:textId="77777777" w:rsidR="0005366D" w:rsidRPr="0005366D" w:rsidRDefault="0005366D" w:rsidP="0005366D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97E021" w14:textId="77777777" w:rsidR="0005366D" w:rsidRPr="0005366D" w:rsidRDefault="0005366D" w:rsidP="0005366D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</w:t>
      </w:r>
    </w:p>
    <w:p w14:paraId="057E2157" w14:textId="77777777" w:rsidR="0005366D" w:rsidRPr="0005366D" w:rsidRDefault="0005366D" w:rsidP="0005366D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консультативного совета                                              </w:t>
      </w:r>
      <w:proofErr w:type="spellStart"/>
      <w:r w:rsidRPr="0005366D">
        <w:rPr>
          <w:rFonts w:ascii="Times New Roman" w:eastAsia="Times New Roman" w:hAnsi="Times New Roman" w:cs="Times New Roman"/>
          <w:sz w:val="30"/>
          <w:szCs w:val="30"/>
          <w:lang w:eastAsia="ru-RU"/>
        </w:rPr>
        <w:t>Н.О.Кондратенко</w:t>
      </w:r>
      <w:proofErr w:type="spellEnd"/>
    </w:p>
    <w:p w14:paraId="52D1C7CB" w14:textId="77777777" w:rsidR="0005366D" w:rsidRPr="0005366D" w:rsidRDefault="0005366D" w:rsidP="0005366D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EA91A2" w14:textId="77777777" w:rsidR="0005366D" w:rsidRDefault="0005366D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5E1DA5A" w14:textId="77777777" w:rsidR="0005366D" w:rsidRPr="00BD73EF" w:rsidRDefault="0005366D" w:rsidP="00BD73EF">
      <w:pPr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05366D" w:rsidRPr="00BD73EF" w:rsidSect="00837A3C">
      <w:pgSz w:w="11906" w:h="16838" w:code="9"/>
      <w:pgMar w:top="1134" w:right="737" w:bottom="1134" w:left="1701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308C" w14:textId="77777777" w:rsidR="00285F22" w:rsidRDefault="00285F22" w:rsidP="0097326C">
      <w:r>
        <w:separator/>
      </w:r>
    </w:p>
  </w:endnote>
  <w:endnote w:type="continuationSeparator" w:id="0">
    <w:p w14:paraId="7F7608CE" w14:textId="77777777" w:rsidR="00285F22" w:rsidRDefault="00285F22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2D61" w14:textId="77777777" w:rsidR="00285F22" w:rsidRDefault="00285F22" w:rsidP="0097326C">
      <w:r>
        <w:separator/>
      </w:r>
    </w:p>
  </w:footnote>
  <w:footnote w:type="continuationSeparator" w:id="0">
    <w:p w14:paraId="0F7C0313" w14:textId="77777777" w:rsidR="00285F22" w:rsidRDefault="00285F22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FB06999"/>
    <w:multiLevelType w:val="hybridMultilevel"/>
    <w:tmpl w:val="B942882A"/>
    <w:lvl w:ilvl="0" w:tplc="F49CC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32691717">
    <w:abstractNumId w:val="23"/>
  </w:num>
  <w:num w:numId="2" w16cid:durableId="652875474">
    <w:abstractNumId w:val="12"/>
  </w:num>
  <w:num w:numId="3" w16cid:durableId="1019813930">
    <w:abstractNumId w:val="10"/>
  </w:num>
  <w:num w:numId="4" w16cid:durableId="1971201918">
    <w:abstractNumId w:val="25"/>
  </w:num>
  <w:num w:numId="5" w16cid:durableId="17853216">
    <w:abstractNumId w:val="14"/>
  </w:num>
  <w:num w:numId="6" w16cid:durableId="452941442">
    <w:abstractNumId w:val="19"/>
  </w:num>
  <w:num w:numId="7" w16cid:durableId="1023287299">
    <w:abstractNumId w:val="21"/>
  </w:num>
  <w:num w:numId="8" w16cid:durableId="1311179039">
    <w:abstractNumId w:val="9"/>
  </w:num>
  <w:num w:numId="9" w16cid:durableId="732585741">
    <w:abstractNumId w:val="7"/>
  </w:num>
  <w:num w:numId="10" w16cid:durableId="544289943">
    <w:abstractNumId w:val="6"/>
  </w:num>
  <w:num w:numId="11" w16cid:durableId="361054161">
    <w:abstractNumId w:val="5"/>
  </w:num>
  <w:num w:numId="12" w16cid:durableId="1503623713">
    <w:abstractNumId w:val="4"/>
  </w:num>
  <w:num w:numId="13" w16cid:durableId="867528472">
    <w:abstractNumId w:val="8"/>
  </w:num>
  <w:num w:numId="14" w16cid:durableId="1708985036">
    <w:abstractNumId w:val="3"/>
  </w:num>
  <w:num w:numId="15" w16cid:durableId="2025591837">
    <w:abstractNumId w:val="2"/>
  </w:num>
  <w:num w:numId="16" w16cid:durableId="1934052918">
    <w:abstractNumId w:val="1"/>
  </w:num>
  <w:num w:numId="17" w16cid:durableId="1740398691">
    <w:abstractNumId w:val="0"/>
  </w:num>
  <w:num w:numId="18" w16cid:durableId="934285931">
    <w:abstractNumId w:val="17"/>
  </w:num>
  <w:num w:numId="19" w16cid:durableId="568151552">
    <w:abstractNumId w:val="18"/>
  </w:num>
  <w:num w:numId="20" w16cid:durableId="116216196">
    <w:abstractNumId w:val="24"/>
  </w:num>
  <w:num w:numId="21" w16cid:durableId="83763798">
    <w:abstractNumId w:val="20"/>
  </w:num>
  <w:num w:numId="22" w16cid:durableId="1001276708">
    <w:abstractNumId w:val="11"/>
  </w:num>
  <w:num w:numId="23" w16cid:durableId="230653741">
    <w:abstractNumId w:val="26"/>
  </w:num>
  <w:num w:numId="24" w16cid:durableId="504244784">
    <w:abstractNumId w:val="16"/>
  </w:num>
  <w:num w:numId="25" w16cid:durableId="1163162875">
    <w:abstractNumId w:val="13"/>
  </w:num>
  <w:num w:numId="26" w16cid:durableId="1223520675">
    <w:abstractNumId w:val="15"/>
  </w:num>
  <w:num w:numId="27" w16cid:durableId="4568703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DE"/>
    <w:rsid w:val="00036BDE"/>
    <w:rsid w:val="0005366D"/>
    <w:rsid w:val="00064933"/>
    <w:rsid w:val="00080D42"/>
    <w:rsid w:val="00085667"/>
    <w:rsid w:val="00094A30"/>
    <w:rsid w:val="000F0ADF"/>
    <w:rsid w:val="00113B8B"/>
    <w:rsid w:val="001351FA"/>
    <w:rsid w:val="001B3ACE"/>
    <w:rsid w:val="001C0C34"/>
    <w:rsid w:val="001C7E2E"/>
    <w:rsid w:val="001E4910"/>
    <w:rsid w:val="00255AC2"/>
    <w:rsid w:val="00285F22"/>
    <w:rsid w:val="00290922"/>
    <w:rsid w:val="002B5086"/>
    <w:rsid w:val="002D39C3"/>
    <w:rsid w:val="002D4A97"/>
    <w:rsid w:val="002E7FD8"/>
    <w:rsid w:val="00315679"/>
    <w:rsid w:val="003900E2"/>
    <w:rsid w:val="003E6C52"/>
    <w:rsid w:val="003F32FA"/>
    <w:rsid w:val="00421009"/>
    <w:rsid w:val="004745E2"/>
    <w:rsid w:val="004A1880"/>
    <w:rsid w:val="004E108E"/>
    <w:rsid w:val="004E24E0"/>
    <w:rsid w:val="00501EB8"/>
    <w:rsid w:val="00527323"/>
    <w:rsid w:val="0055051D"/>
    <w:rsid w:val="00586558"/>
    <w:rsid w:val="005B0B51"/>
    <w:rsid w:val="006407A1"/>
    <w:rsid w:val="00645252"/>
    <w:rsid w:val="006D3D5B"/>
    <w:rsid w:val="006D3D74"/>
    <w:rsid w:val="006E22CC"/>
    <w:rsid w:val="007033E0"/>
    <w:rsid w:val="00723FF3"/>
    <w:rsid w:val="007471A0"/>
    <w:rsid w:val="00790599"/>
    <w:rsid w:val="007F4D60"/>
    <w:rsid w:val="0083569A"/>
    <w:rsid w:val="00837A3C"/>
    <w:rsid w:val="008A2350"/>
    <w:rsid w:val="008A3545"/>
    <w:rsid w:val="008A3D4A"/>
    <w:rsid w:val="008A4681"/>
    <w:rsid w:val="008E4FAA"/>
    <w:rsid w:val="008E762D"/>
    <w:rsid w:val="009147F2"/>
    <w:rsid w:val="0092276D"/>
    <w:rsid w:val="00972D90"/>
    <w:rsid w:val="0097326C"/>
    <w:rsid w:val="00992A8A"/>
    <w:rsid w:val="00997ACF"/>
    <w:rsid w:val="009E231A"/>
    <w:rsid w:val="00A64D43"/>
    <w:rsid w:val="00A9204E"/>
    <w:rsid w:val="00A9782B"/>
    <w:rsid w:val="00BD73EF"/>
    <w:rsid w:val="00BE2BAB"/>
    <w:rsid w:val="00C55139"/>
    <w:rsid w:val="00CA64F0"/>
    <w:rsid w:val="00D7361D"/>
    <w:rsid w:val="00DA623B"/>
    <w:rsid w:val="00DB2337"/>
    <w:rsid w:val="00EF7E9A"/>
    <w:rsid w:val="00FB6F16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953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36BD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30"/>
      <w:szCs w:val="3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  <w:sz w:val="30"/>
      <w:szCs w:val="3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  <w:sz w:val="30"/>
      <w:szCs w:val="30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30"/>
      <w:szCs w:val="30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 w:val="30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3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ascii="Times New Roman" w:eastAsiaTheme="minorEastAsia" w:hAnsi="Times New Roman" w:cs="Calibri"/>
      <w:color w:val="5A5A5A" w:themeColor="text1" w:themeTint="A5"/>
      <w:spacing w:val="15"/>
      <w:sz w:val="30"/>
      <w:szCs w:val="30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rFonts w:ascii="Times New Roman" w:hAnsi="Times New Roman" w:cs="Calibri"/>
      <w:i/>
      <w:iCs/>
      <w:color w:val="404040" w:themeColor="text1" w:themeTint="BF"/>
      <w:sz w:val="30"/>
      <w:szCs w:val="30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Times New Roman" w:hAnsi="Times New Roman" w:cs="Calibri"/>
      <w:i/>
      <w:iCs/>
      <w:color w:val="1F4E79" w:themeColor="accent1" w:themeShade="80"/>
      <w:sz w:val="30"/>
      <w:szCs w:val="3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rFonts w:ascii="Times New Roman" w:hAnsi="Times New Roman" w:cs="Calibri"/>
      <w:i/>
      <w:iCs/>
      <w:color w:val="44546A" w:themeColor="text2"/>
      <w:sz w:val="30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 w:val="30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="Times New Roman" w:eastAsiaTheme="minorEastAsia" w:hAnsi="Times New Roman" w:cs="Calibri"/>
      <w:i/>
      <w:iCs/>
      <w:color w:val="1F4E79" w:themeColor="accent1" w:themeShade="80"/>
      <w:sz w:val="30"/>
      <w:szCs w:val="3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 w:val="30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 w:val="30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 w:cs="Calibri"/>
      <w:sz w:val="3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 w:cs="Calibri"/>
      <w:sz w:val="30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  <w:rPr>
      <w:rFonts w:ascii="Times New Roman" w:hAnsi="Times New Roman" w:cs="Calibri"/>
      <w:sz w:val="30"/>
      <w:szCs w:val="30"/>
    </w:r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rFonts w:ascii="Times New Roman" w:hAnsi="Times New Roman" w:cs="Calibri"/>
      <w:i/>
      <w:iCs/>
      <w:sz w:val="30"/>
      <w:szCs w:val="30"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  <w:rPr>
      <w:rFonts w:ascii="Times New Roman" w:hAnsi="Times New Roman" w:cs="Calibri"/>
      <w:sz w:val="30"/>
      <w:szCs w:val="30"/>
    </w:r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  <w:rPr>
      <w:rFonts w:ascii="Times New Roman" w:hAnsi="Times New Roman" w:cs="Calibri"/>
      <w:sz w:val="30"/>
      <w:szCs w:val="30"/>
    </w:r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  <w:rPr>
      <w:rFonts w:ascii="Times New Roman" w:hAnsi="Times New Roman" w:cs="Calibri"/>
      <w:sz w:val="30"/>
      <w:szCs w:val="30"/>
    </w:r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  <w:rPr>
      <w:rFonts w:ascii="Times New Roman" w:hAnsi="Times New Roman" w:cs="Calibri"/>
      <w:sz w:val="30"/>
      <w:szCs w:val="30"/>
    </w:r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  <w:rPr>
      <w:rFonts w:ascii="Times New Roman" w:hAnsi="Times New Roman" w:cs="Calibri"/>
      <w:sz w:val="30"/>
      <w:szCs w:val="30"/>
    </w:r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  <w:rPr>
      <w:rFonts w:ascii="Times New Roman" w:hAnsi="Times New Roman" w:cs="Calibri"/>
      <w:sz w:val="30"/>
      <w:szCs w:val="30"/>
    </w:r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  <w:rPr>
      <w:rFonts w:ascii="Times New Roman" w:hAnsi="Times New Roman" w:cs="Calibri"/>
      <w:sz w:val="30"/>
      <w:szCs w:val="30"/>
    </w:r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  <w:rPr>
      <w:rFonts w:ascii="Times New Roman" w:hAnsi="Times New Roman" w:cs="Calibri"/>
      <w:sz w:val="30"/>
      <w:szCs w:val="30"/>
    </w:r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  <w:rPr>
      <w:rFonts w:ascii="Times New Roman" w:hAnsi="Times New Roman" w:cs="Calibri"/>
      <w:sz w:val="30"/>
      <w:szCs w:val="30"/>
    </w:r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  <w:rPr>
      <w:rFonts w:ascii="Times New Roman" w:hAnsi="Times New Roman" w:cs="Calibri"/>
      <w:sz w:val="30"/>
      <w:szCs w:val="30"/>
    </w:r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  <w:rPr>
      <w:rFonts w:ascii="Times New Roman" w:hAnsi="Times New Roman" w:cs="Calibri"/>
      <w:sz w:val="30"/>
      <w:szCs w:val="30"/>
    </w:r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  <w:rPr>
      <w:rFonts w:ascii="Times New Roman" w:hAnsi="Times New Roman" w:cs="Calibri"/>
      <w:sz w:val="30"/>
      <w:szCs w:val="30"/>
    </w:r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  <w:rPr>
      <w:rFonts w:ascii="Times New Roman" w:hAnsi="Times New Roman" w:cs="Calibri"/>
      <w:sz w:val="30"/>
      <w:szCs w:val="30"/>
    </w:r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  <w:rPr>
      <w:rFonts w:ascii="Times New Roman" w:hAnsi="Times New Roman" w:cs="Calibri"/>
      <w:sz w:val="30"/>
      <w:szCs w:val="30"/>
    </w:r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  <w:rPr>
      <w:rFonts w:ascii="Times New Roman" w:hAnsi="Times New Roman" w:cs="Calibri"/>
      <w:sz w:val="30"/>
      <w:szCs w:val="30"/>
    </w:r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  <w:rPr>
      <w:rFonts w:ascii="Times New Roman" w:hAnsi="Times New Roman" w:cs="Calibri"/>
      <w:sz w:val="30"/>
      <w:szCs w:val="30"/>
    </w:r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  <w:rPr>
      <w:rFonts w:ascii="Times New Roman" w:hAnsi="Times New Roman" w:cs="Calibri"/>
      <w:sz w:val="30"/>
      <w:szCs w:val="30"/>
    </w:rPr>
  </w:style>
  <w:style w:type="paragraph" w:styleId="afff5">
    <w:name w:val="List Paragraph"/>
    <w:basedOn w:val="a2"/>
    <w:uiPriority w:val="34"/>
    <w:unhideWhenUsed/>
    <w:qFormat/>
    <w:rsid w:val="0097326C"/>
    <w:pPr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  <w:rPr>
      <w:rFonts w:ascii="Times New Roman" w:hAnsi="Times New Roman" w:cs="Calibri"/>
      <w:sz w:val="30"/>
      <w:szCs w:val="30"/>
    </w:r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  <w:rPr>
      <w:rFonts w:ascii="Times New Roman" w:hAnsi="Times New Roman" w:cs="Calibri"/>
      <w:sz w:val="30"/>
      <w:szCs w:val="30"/>
    </w:r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30"/>
    </w:r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  <w:rPr>
      <w:rFonts w:ascii="Times New Roman" w:hAnsi="Times New Roman" w:cs="Calibri"/>
      <w:sz w:val="30"/>
      <w:szCs w:val="30"/>
    </w:r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30"/>
    </w:r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  <w:rPr>
      <w:rFonts w:ascii="Times New Roman" w:hAnsi="Times New Roman" w:cs="Calibri"/>
      <w:sz w:val="30"/>
      <w:szCs w:val="30"/>
    </w:r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  <w:rPr>
      <w:rFonts w:ascii="Times New Roman" w:hAnsi="Times New Roman" w:cs="Calibri"/>
      <w:sz w:val="30"/>
      <w:szCs w:val="30"/>
    </w:r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  <w:rPr>
      <w:rFonts w:ascii="Times New Roman" w:hAnsi="Times New Roman" w:cs="Calibri"/>
      <w:sz w:val="30"/>
      <w:szCs w:val="30"/>
    </w:r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  <w:rPr>
      <w:rFonts w:ascii="Times New Roman" w:hAnsi="Times New Roman" w:cs="Calibri"/>
      <w:sz w:val="30"/>
      <w:szCs w:val="30"/>
    </w:r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  <w:rPr>
      <w:rFonts w:ascii="Times New Roman" w:hAnsi="Times New Roman" w:cs="Calibri"/>
      <w:sz w:val="30"/>
      <w:szCs w:val="30"/>
    </w:r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  <w:rPr>
      <w:rFonts w:ascii="Times New Roman" w:hAnsi="Times New Roman" w:cs="Calibri"/>
      <w:sz w:val="30"/>
      <w:szCs w:val="30"/>
    </w:r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  <w:rPr>
      <w:rFonts w:ascii="Times New Roman" w:hAnsi="Times New Roman" w:cs="Calibri"/>
      <w:sz w:val="30"/>
      <w:szCs w:val="30"/>
    </w:r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  <w:rPr>
      <w:rFonts w:ascii="Times New Roman" w:hAnsi="Times New Roman" w:cs="Calibri"/>
      <w:sz w:val="30"/>
      <w:szCs w:val="30"/>
    </w:r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  <w:rPr>
      <w:rFonts w:ascii="Times New Roman" w:hAnsi="Times New Roman" w:cs="Calibri"/>
      <w:sz w:val="30"/>
      <w:szCs w:val="30"/>
    </w:r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  <w:rPr>
      <w:rFonts w:ascii="Times New Roman" w:hAnsi="Times New Roman" w:cs="Calibri"/>
      <w:sz w:val="30"/>
      <w:szCs w:val="30"/>
    </w:r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  <w:sz w:val="30"/>
      <w:szCs w:val="30"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5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kondratenko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(пустой).dotx</Template>
  <TotalTime>0</TotalTime>
  <Pages>4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2025-02-21T13:21:00Z</dcterms:created>
  <dcterms:modified xsi:type="dcterms:W3CDTF">2025-02-24T09:19:00Z</dcterms:modified>
</cp:coreProperties>
</file>